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3"/>
          <w:szCs w:val="23"/>
        </w:rPr>
      </w:pPr>
      <w:r w:rsidDel="00000000" w:rsidR="00000000" w:rsidRPr="00000000">
        <w:rPr>
          <w:rtl w:val="0"/>
        </w:rPr>
      </w:r>
    </w:p>
    <w:tbl>
      <w:tblPr>
        <w:tblStyle w:val="Table1"/>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8"/>
        <w:gridCol w:w="1894"/>
        <w:gridCol w:w="2020"/>
        <w:gridCol w:w="1977"/>
        <w:gridCol w:w="1935"/>
        <w:tblGridChange w:id="0">
          <w:tblGrid>
            <w:gridCol w:w="1808"/>
            <w:gridCol w:w="1894"/>
            <w:gridCol w:w="2020"/>
            <w:gridCol w:w="1977"/>
            <w:gridCol w:w="1935"/>
          </w:tblGrid>
        </w:tblGridChange>
      </w:tblGrid>
      <w:tr>
        <w:trPr>
          <w:cantSplit w:val="0"/>
          <w:tblHeader w:val="0"/>
        </w:trPr>
        <w:tc>
          <w:tcPr/>
          <w:p w:rsidR="00000000" w:rsidDel="00000000" w:rsidP="00000000" w:rsidRDefault="00000000" w:rsidRPr="00000000" w14:paraId="00000002">
            <w:pPr>
              <w:jc w:val="center"/>
              <w:rPr>
                <w:b w:val="1"/>
              </w:rPr>
            </w:pPr>
            <w:r w:rsidDel="00000000" w:rsidR="00000000" w:rsidRPr="00000000">
              <w:rPr>
                <w:b w:val="1"/>
                <w:rtl w:val="0"/>
              </w:rPr>
              <w:t xml:space="preserve">Time</w:t>
            </w:r>
          </w:p>
        </w:tc>
        <w:tc>
          <w:tcPr/>
          <w:p w:rsidR="00000000" w:rsidDel="00000000" w:rsidP="00000000" w:rsidRDefault="00000000" w:rsidRPr="00000000" w14:paraId="00000003">
            <w:pPr>
              <w:jc w:val="center"/>
              <w:rPr>
                <w:b w:val="1"/>
              </w:rPr>
            </w:pPr>
            <w:r w:rsidDel="00000000" w:rsidR="00000000" w:rsidRPr="00000000">
              <w:rPr>
                <w:b w:val="1"/>
                <w:rtl w:val="0"/>
              </w:rPr>
              <w:t xml:space="preserve">Key Message</w:t>
            </w:r>
          </w:p>
        </w:tc>
        <w:tc>
          <w:tcPr/>
          <w:p w:rsidR="00000000" w:rsidDel="00000000" w:rsidP="00000000" w:rsidRDefault="00000000" w:rsidRPr="00000000" w14:paraId="00000004">
            <w:pPr>
              <w:jc w:val="center"/>
              <w:rPr>
                <w:b w:val="1"/>
              </w:rPr>
            </w:pPr>
            <w:r w:rsidDel="00000000" w:rsidR="00000000" w:rsidRPr="00000000">
              <w:rPr>
                <w:b w:val="1"/>
                <w:rtl w:val="0"/>
              </w:rPr>
              <w:t xml:space="preserve">Activity</w:t>
            </w:r>
          </w:p>
        </w:tc>
        <w:tc>
          <w:tcPr/>
          <w:p w:rsidR="00000000" w:rsidDel="00000000" w:rsidP="00000000" w:rsidRDefault="00000000" w:rsidRPr="00000000" w14:paraId="00000005">
            <w:pPr>
              <w:jc w:val="center"/>
              <w:rPr>
                <w:b w:val="1"/>
              </w:rPr>
            </w:pPr>
            <w:r w:rsidDel="00000000" w:rsidR="00000000" w:rsidRPr="00000000">
              <w:rPr>
                <w:b w:val="1"/>
                <w:rtl w:val="0"/>
              </w:rPr>
              <w:t xml:space="preserve">Description</w:t>
            </w:r>
          </w:p>
        </w:tc>
        <w:tc>
          <w:tcPr/>
          <w:p w:rsidR="00000000" w:rsidDel="00000000" w:rsidP="00000000" w:rsidRDefault="00000000" w:rsidRPr="00000000" w14:paraId="00000006">
            <w:pPr>
              <w:jc w:val="center"/>
              <w:rPr>
                <w:b w:val="1"/>
              </w:rPr>
            </w:pPr>
            <w:r w:rsidDel="00000000" w:rsidR="00000000" w:rsidRPr="00000000">
              <w:rPr>
                <w:b w:val="1"/>
                <w:rtl w:val="0"/>
              </w:rPr>
              <w:t xml:space="preserve">Resources</w:t>
            </w:r>
          </w:p>
        </w:tc>
      </w:tr>
      <w:tr>
        <w:trPr>
          <w:cantSplit w:val="0"/>
          <w:trHeight w:val="1144" w:hRule="atLeast"/>
          <w:tblHeader w:val="0"/>
        </w:trPr>
        <w:tc>
          <w:tcPr>
            <w:vMerge w:val="restart"/>
          </w:tcPr>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t xml:space="preserve">25 min</w:t>
            </w:r>
          </w:p>
        </w:tc>
        <w:tc>
          <w:tcPr>
            <w:vMerge w:val="restart"/>
          </w:tcPr>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t xml:space="preserve">Main objective of WASH programmes: Creating barriers along the pathways</w:t>
            </w:r>
          </w:p>
        </w:tc>
        <w:tc>
          <w:tcPr/>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r>
          </w:p>
          <w:p w:rsidR="00000000" w:rsidDel="00000000" w:rsidP="00000000" w:rsidRDefault="00000000" w:rsidRPr="00000000" w14:paraId="0000001E">
            <w:pPr>
              <w:jc w:val="center"/>
              <w:rPr/>
            </w:pPr>
            <w:r w:rsidDel="00000000" w:rsidR="00000000" w:rsidRPr="00000000">
              <w:rPr>
                <w:rtl w:val="0"/>
              </w:rPr>
              <w:t xml:space="preserve">The F Diagram</w:t>
            </w:r>
          </w:p>
        </w:tc>
        <w:tc>
          <w:tcPr/>
          <w:p w:rsidR="00000000" w:rsidDel="00000000" w:rsidP="00000000" w:rsidRDefault="00000000" w:rsidRPr="00000000" w14:paraId="0000001F">
            <w:pPr>
              <w:rPr>
                <w:sz w:val="20"/>
                <w:szCs w:val="20"/>
              </w:rPr>
            </w:pPr>
            <w:r w:rsidDel="00000000" w:rsidR="00000000" w:rsidRPr="00000000">
              <w:rPr>
                <w:sz w:val="20"/>
                <w:szCs w:val="20"/>
                <w:rtl w:val="0"/>
              </w:rPr>
              <w:t xml:space="preserve">Introduction: Everything starts with water – Links to public health.</w:t>
            </w:r>
          </w:p>
          <w:p w:rsidR="00000000" w:rsidDel="00000000" w:rsidP="00000000" w:rsidRDefault="00000000" w:rsidRPr="00000000" w14:paraId="00000020">
            <w:pPr>
              <w:rPr>
                <w:sz w:val="20"/>
                <w:szCs w:val="20"/>
              </w:rPr>
            </w:pPr>
            <w:r w:rsidDel="00000000" w:rsidR="00000000" w:rsidRPr="00000000">
              <w:rPr>
                <w:sz w:val="20"/>
                <w:szCs w:val="20"/>
                <w:rtl w:val="0"/>
              </w:rPr>
              <w:t xml:space="preserve">Activity: F Diagram</w:t>
            </w:r>
          </w:p>
          <w:p w:rsidR="00000000" w:rsidDel="00000000" w:rsidP="00000000" w:rsidRDefault="00000000" w:rsidRPr="00000000" w14:paraId="00000021">
            <w:pPr>
              <w:rPr>
                <w:sz w:val="20"/>
                <w:szCs w:val="20"/>
              </w:rPr>
            </w:pPr>
            <w:r w:rsidDel="00000000" w:rsidR="00000000" w:rsidRPr="00000000">
              <w:rPr>
                <w:sz w:val="20"/>
                <w:szCs w:val="20"/>
                <w:rtl w:val="0"/>
              </w:rPr>
              <w:t xml:space="preserve">. Presentation of the 5 F´s as pathways</w:t>
            </w:r>
          </w:p>
          <w:p w:rsidR="00000000" w:rsidDel="00000000" w:rsidP="00000000" w:rsidRDefault="00000000" w:rsidRPr="00000000" w14:paraId="00000022">
            <w:pPr>
              <w:rPr>
                <w:sz w:val="20"/>
                <w:szCs w:val="20"/>
              </w:rPr>
            </w:pPr>
            <w:r w:rsidDel="00000000" w:rsidR="00000000" w:rsidRPr="00000000">
              <w:rPr>
                <w:sz w:val="20"/>
                <w:szCs w:val="20"/>
                <w:rtl w:val="0"/>
              </w:rPr>
              <w:t xml:space="preserve">. WASH as barriers</w:t>
            </w:r>
          </w:p>
          <w:p w:rsidR="00000000" w:rsidDel="00000000" w:rsidP="00000000" w:rsidRDefault="00000000" w:rsidRPr="00000000" w14:paraId="00000023">
            <w:pPr>
              <w:rPr>
                <w:sz w:val="20"/>
                <w:szCs w:val="20"/>
              </w:rPr>
            </w:pPr>
            <w:r w:rsidDel="00000000" w:rsidR="00000000" w:rsidRPr="00000000">
              <w:rPr>
                <w:sz w:val="20"/>
                <w:szCs w:val="20"/>
                <w:rtl w:val="0"/>
              </w:rPr>
              <w:t xml:space="preserve">How can barriers help in controlling the pathways that cause diseases?</w:t>
            </w:r>
          </w:p>
          <w:p w:rsidR="00000000" w:rsidDel="00000000" w:rsidP="00000000" w:rsidRDefault="00000000" w:rsidRPr="00000000" w14:paraId="00000024">
            <w:pPr>
              <w:rPr>
                <w:sz w:val="20"/>
                <w:szCs w:val="20"/>
              </w:rPr>
            </w:pPr>
            <w:r w:rsidDel="00000000" w:rsidR="00000000" w:rsidRPr="00000000">
              <w:rPr>
                <w:rtl w:val="0"/>
              </w:rPr>
            </w:r>
          </w:p>
        </w:tc>
        <w:tc>
          <w:tcPr/>
          <w:p w:rsidR="00000000" w:rsidDel="00000000" w:rsidP="00000000" w:rsidRDefault="00000000" w:rsidRPr="00000000" w14:paraId="00000025">
            <w:pPr>
              <w:jc w:val="both"/>
              <w:rPr>
                <w:sz w:val="20"/>
                <w:szCs w:val="20"/>
              </w:rPr>
            </w:pPr>
            <w:r w:rsidDel="00000000" w:rsidR="00000000" w:rsidRPr="00000000">
              <w:rPr>
                <w:rtl w:val="0"/>
              </w:rPr>
            </w:r>
          </w:p>
          <w:p w:rsidR="00000000" w:rsidDel="00000000" w:rsidP="00000000" w:rsidRDefault="00000000" w:rsidRPr="00000000" w14:paraId="00000026">
            <w:pPr>
              <w:jc w:val="both"/>
              <w:rPr>
                <w:sz w:val="20"/>
                <w:szCs w:val="20"/>
              </w:rPr>
            </w:pPr>
            <w:r w:rsidDel="00000000" w:rsidR="00000000" w:rsidRPr="00000000">
              <w:rPr>
                <w:rtl w:val="0"/>
              </w:rPr>
            </w:r>
          </w:p>
          <w:p w:rsidR="00000000" w:rsidDel="00000000" w:rsidP="00000000" w:rsidRDefault="00000000" w:rsidRPr="00000000" w14:paraId="00000027">
            <w:pPr>
              <w:jc w:val="both"/>
              <w:rPr>
                <w:sz w:val="20"/>
                <w:szCs w:val="20"/>
              </w:rPr>
            </w:pPr>
            <w:r w:rsidDel="00000000" w:rsidR="00000000" w:rsidRPr="00000000">
              <w:rPr>
                <w:sz w:val="20"/>
                <w:szCs w:val="20"/>
                <w:rtl w:val="0"/>
              </w:rPr>
              <w:t xml:space="preserve">. Flipchart</w:t>
            </w:r>
          </w:p>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 Markers</w:t>
            </w:r>
          </w:p>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 Printed paper squares representing the 5 F´s plus the additional 3 F´s (Faces, fields, and floods).</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tc>
      </w:tr>
      <w:tr>
        <w:trPr>
          <w:cantSplit w:val="0"/>
          <w:trHeight w:val="944" w:hRule="atLeast"/>
          <w:tblHeader w:val="0"/>
        </w:trPr>
        <w:tc>
          <w:tcPr>
            <w:vMerge w:val="continue"/>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2E">
            <w:pPr>
              <w:jc w:val="center"/>
              <w:rPr/>
            </w:pPr>
            <w:r w:rsidDel="00000000" w:rsidR="00000000" w:rsidRPr="00000000">
              <w:rPr>
                <w:rtl w:val="0"/>
              </w:rPr>
            </w:r>
          </w:p>
          <w:p w:rsidR="00000000" w:rsidDel="00000000" w:rsidP="00000000" w:rsidRDefault="00000000" w:rsidRPr="00000000" w14:paraId="0000002F">
            <w:pPr>
              <w:jc w:val="center"/>
              <w:rPr/>
            </w:pPr>
            <w:r w:rsidDel="00000000" w:rsidR="00000000" w:rsidRPr="00000000">
              <w:rPr>
                <w:rtl w:val="0"/>
              </w:rPr>
            </w:r>
          </w:p>
          <w:p w:rsidR="00000000" w:rsidDel="00000000" w:rsidP="00000000" w:rsidRDefault="00000000" w:rsidRPr="00000000" w14:paraId="00000030">
            <w:pPr>
              <w:jc w:val="center"/>
              <w:rPr/>
            </w:pPr>
            <w:r w:rsidDel="00000000" w:rsidR="00000000" w:rsidRPr="00000000">
              <w:rPr>
                <w:rtl w:val="0"/>
              </w:rPr>
            </w:r>
          </w:p>
          <w:p w:rsidR="00000000" w:rsidDel="00000000" w:rsidP="00000000" w:rsidRDefault="00000000" w:rsidRPr="00000000" w14:paraId="00000031">
            <w:pPr>
              <w:jc w:val="center"/>
              <w:rPr/>
            </w:pPr>
            <w:r w:rsidDel="00000000" w:rsidR="00000000" w:rsidRPr="00000000">
              <w:rPr>
                <w:rtl w:val="0"/>
              </w:rPr>
              <w:t xml:space="preserve">Links between standards, barriers and pathways</w:t>
            </w:r>
          </w:p>
        </w:tc>
        <w:tc>
          <w:tcPr/>
          <w:p w:rsidR="00000000" w:rsidDel="00000000" w:rsidP="00000000" w:rsidRDefault="00000000" w:rsidRPr="00000000" w14:paraId="00000032">
            <w:pPr>
              <w:jc w:val="both"/>
              <w:rPr>
                <w:sz w:val="20"/>
                <w:szCs w:val="20"/>
              </w:rPr>
            </w:pPr>
            <w:r w:rsidDel="00000000" w:rsidR="00000000" w:rsidRPr="00000000">
              <w:rPr>
                <w:sz w:val="20"/>
                <w:szCs w:val="20"/>
                <w:rtl w:val="0"/>
              </w:rPr>
              <w:t xml:space="preserve">Presentation of the 6 WASH standards (categories)</w:t>
            </w:r>
          </w:p>
          <w:p w:rsidR="00000000" w:rsidDel="00000000" w:rsidP="00000000" w:rsidRDefault="00000000" w:rsidRPr="00000000" w14:paraId="00000033">
            <w:pPr>
              <w:jc w:val="both"/>
              <w:rPr>
                <w:sz w:val="20"/>
                <w:szCs w:val="20"/>
              </w:rPr>
            </w:pPr>
            <w:r w:rsidDel="00000000" w:rsidR="00000000" w:rsidRPr="00000000">
              <w:rPr>
                <w:sz w:val="20"/>
                <w:szCs w:val="20"/>
                <w:rtl w:val="0"/>
              </w:rPr>
              <w:t xml:space="preserve">. What is the relation between each standard (as a barrier) to the pathways?</w:t>
            </w:r>
          </w:p>
          <w:p w:rsidR="00000000" w:rsidDel="00000000" w:rsidP="00000000" w:rsidRDefault="00000000" w:rsidRPr="00000000" w14:paraId="00000034">
            <w:pPr>
              <w:jc w:val="both"/>
              <w:rPr>
                <w:sz w:val="20"/>
                <w:szCs w:val="20"/>
              </w:rPr>
            </w:pPr>
            <w:r w:rsidDel="00000000" w:rsidR="00000000" w:rsidRPr="00000000">
              <w:rPr>
                <w:sz w:val="20"/>
                <w:szCs w:val="20"/>
                <w:rtl w:val="0"/>
              </w:rPr>
              <w:t xml:space="preserve">. Conclusion: Creating barriers along the pathways – Main objective of the WASH programmes.</w:t>
            </w:r>
          </w:p>
        </w:tc>
        <w:tc>
          <w:tcPr/>
          <w:p w:rsidR="00000000" w:rsidDel="00000000" w:rsidP="00000000" w:rsidRDefault="00000000" w:rsidRPr="00000000" w14:paraId="00000035">
            <w:pPr>
              <w:jc w:val="both"/>
              <w:rPr>
                <w:sz w:val="20"/>
                <w:szCs w:val="20"/>
              </w:rPr>
            </w:pPr>
            <w:r w:rsidDel="00000000" w:rsidR="00000000" w:rsidRPr="00000000">
              <w:rPr>
                <w:rtl w:val="0"/>
              </w:rPr>
            </w:r>
          </w:p>
          <w:p w:rsidR="00000000" w:rsidDel="00000000" w:rsidP="00000000" w:rsidRDefault="00000000" w:rsidRPr="00000000" w14:paraId="00000036">
            <w:pPr>
              <w:jc w:val="both"/>
              <w:rPr>
                <w:sz w:val="20"/>
                <w:szCs w:val="20"/>
              </w:rPr>
            </w:pPr>
            <w:r w:rsidDel="00000000" w:rsidR="00000000" w:rsidRPr="00000000">
              <w:rPr>
                <w:rtl w:val="0"/>
              </w:rPr>
            </w:r>
          </w:p>
          <w:p w:rsidR="00000000" w:rsidDel="00000000" w:rsidP="00000000" w:rsidRDefault="00000000" w:rsidRPr="00000000" w14:paraId="00000037">
            <w:pPr>
              <w:jc w:val="both"/>
              <w:rPr>
                <w:sz w:val="20"/>
                <w:szCs w:val="20"/>
              </w:rPr>
            </w:pPr>
            <w:r w:rsidDel="00000000" w:rsidR="00000000" w:rsidRPr="00000000">
              <w:rPr>
                <w:sz w:val="20"/>
                <w:szCs w:val="20"/>
                <w:rtl w:val="0"/>
              </w:rPr>
              <w:t xml:space="preserve">. Flipcharts</w:t>
            </w:r>
          </w:p>
          <w:p w:rsidR="00000000" w:rsidDel="00000000" w:rsidP="00000000" w:rsidRDefault="00000000" w:rsidRPr="00000000" w14:paraId="00000038">
            <w:pPr>
              <w:jc w:val="both"/>
              <w:rPr>
                <w:sz w:val="20"/>
                <w:szCs w:val="20"/>
              </w:rPr>
            </w:pPr>
            <w:r w:rsidDel="00000000" w:rsidR="00000000" w:rsidRPr="00000000">
              <w:rPr>
                <w:sz w:val="20"/>
                <w:szCs w:val="20"/>
                <w:rtl w:val="0"/>
              </w:rPr>
              <w:t xml:space="preserve">. Glue</w:t>
            </w:r>
          </w:p>
          <w:p w:rsidR="00000000" w:rsidDel="00000000" w:rsidP="00000000" w:rsidRDefault="00000000" w:rsidRPr="00000000" w14:paraId="00000039">
            <w:pPr>
              <w:jc w:val="both"/>
              <w:rPr>
                <w:sz w:val="20"/>
                <w:szCs w:val="20"/>
              </w:rPr>
            </w:pPr>
            <w:r w:rsidDel="00000000" w:rsidR="00000000" w:rsidRPr="00000000">
              <w:rPr>
                <w:sz w:val="20"/>
                <w:szCs w:val="20"/>
                <w:rtl w:val="0"/>
              </w:rPr>
              <w:t xml:space="preserve">. Printed paper squares representing the 5 F´s and the 6 standards.</w:t>
            </w:r>
          </w:p>
          <w:p w:rsidR="00000000" w:rsidDel="00000000" w:rsidP="00000000" w:rsidRDefault="00000000" w:rsidRPr="00000000" w14:paraId="0000003A">
            <w:pPr>
              <w:jc w:val="both"/>
              <w:rPr>
                <w:b w:val="1"/>
                <w:sz w:val="20"/>
                <w:szCs w:val="20"/>
              </w:rPr>
            </w:pPr>
            <w:r w:rsidDel="00000000" w:rsidR="00000000" w:rsidRPr="00000000">
              <w:rPr>
                <w:rtl w:val="0"/>
              </w:rPr>
            </w:r>
          </w:p>
        </w:tc>
      </w:tr>
      <w:tr>
        <w:trPr>
          <w:cantSplit w:val="0"/>
          <w:trHeight w:val="4805" w:hRule="atLeast"/>
          <w:tblHeader w:val="0"/>
        </w:trPr>
        <w:tc>
          <w:tcPr/>
          <w:p w:rsidR="00000000" w:rsidDel="00000000" w:rsidP="00000000" w:rsidRDefault="00000000" w:rsidRPr="00000000" w14:paraId="0000003B">
            <w:pPr>
              <w:jc w:val="center"/>
              <w:rPr/>
            </w:pPr>
            <w:r w:rsidDel="00000000" w:rsidR="00000000" w:rsidRPr="00000000">
              <w:rPr>
                <w:rtl w:val="0"/>
              </w:rPr>
            </w:r>
          </w:p>
          <w:p w:rsidR="00000000" w:rsidDel="00000000" w:rsidP="00000000" w:rsidRDefault="00000000" w:rsidRPr="00000000" w14:paraId="0000003C">
            <w:pPr>
              <w:jc w:val="center"/>
              <w:rPr/>
            </w:pPr>
            <w:r w:rsidDel="00000000" w:rsidR="00000000" w:rsidRPr="00000000">
              <w:rPr>
                <w:rtl w:val="0"/>
              </w:rPr>
            </w:r>
          </w:p>
          <w:p w:rsidR="00000000" w:rsidDel="00000000" w:rsidP="00000000" w:rsidRDefault="00000000" w:rsidRPr="00000000" w14:paraId="0000003D">
            <w:pPr>
              <w:jc w:val="center"/>
              <w:rPr/>
            </w:pPr>
            <w:r w:rsidDel="00000000" w:rsidR="00000000" w:rsidRPr="00000000">
              <w:rPr>
                <w:rtl w:val="0"/>
              </w:rPr>
            </w:r>
          </w:p>
          <w:p w:rsidR="00000000" w:rsidDel="00000000" w:rsidP="00000000" w:rsidRDefault="00000000" w:rsidRPr="00000000" w14:paraId="0000003E">
            <w:pPr>
              <w:jc w:val="center"/>
              <w:rPr/>
            </w:pPr>
            <w:r w:rsidDel="00000000" w:rsidR="00000000" w:rsidRPr="00000000">
              <w:rPr>
                <w:rtl w:val="0"/>
              </w:rPr>
            </w:r>
          </w:p>
          <w:p w:rsidR="00000000" w:rsidDel="00000000" w:rsidP="00000000" w:rsidRDefault="00000000" w:rsidRPr="00000000" w14:paraId="0000003F">
            <w:pPr>
              <w:jc w:val="center"/>
              <w:rPr/>
            </w:pPr>
            <w:r w:rsidDel="00000000" w:rsidR="00000000" w:rsidRPr="00000000">
              <w:rPr>
                <w:rtl w:val="0"/>
              </w:rPr>
            </w:r>
          </w:p>
          <w:p w:rsidR="00000000" w:rsidDel="00000000" w:rsidP="00000000" w:rsidRDefault="00000000" w:rsidRPr="00000000" w14:paraId="00000040">
            <w:pPr>
              <w:jc w:val="center"/>
              <w:rPr/>
            </w:pPr>
            <w:r w:rsidDel="00000000" w:rsidR="00000000" w:rsidRPr="00000000">
              <w:rPr>
                <w:rtl w:val="0"/>
              </w:rPr>
            </w:r>
          </w:p>
          <w:p w:rsidR="00000000" w:rsidDel="00000000" w:rsidP="00000000" w:rsidRDefault="00000000" w:rsidRPr="00000000" w14:paraId="00000041">
            <w:pPr>
              <w:jc w:val="center"/>
              <w:rPr/>
            </w:pPr>
            <w:r w:rsidDel="00000000" w:rsidR="00000000" w:rsidRPr="00000000">
              <w:rPr>
                <w:rtl w:val="0"/>
              </w:rPr>
            </w:r>
          </w:p>
          <w:p w:rsidR="00000000" w:rsidDel="00000000" w:rsidP="00000000" w:rsidRDefault="00000000" w:rsidRPr="00000000" w14:paraId="00000042">
            <w:pPr>
              <w:jc w:val="center"/>
              <w:rPr/>
            </w:pPr>
            <w:r w:rsidDel="00000000" w:rsidR="00000000" w:rsidRPr="00000000">
              <w:rPr>
                <w:rtl w:val="0"/>
              </w:rPr>
              <w:t xml:space="preserve">25 min</w:t>
            </w:r>
          </w:p>
        </w:tc>
        <w:tc>
          <w:tcPr/>
          <w:p w:rsidR="00000000" w:rsidDel="00000000" w:rsidP="00000000" w:rsidRDefault="00000000" w:rsidRPr="00000000" w14:paraId="00000043">
            <w:pPr>
              <w:jc w:val="center"/>
              <w:rPr/>
            </w:pPr>
            <w:r w:rsidDel="00000000" w:rsidR="00000000" w:rsidRPr="00000000">
              <w:rPr>
                <w:rtl w:val="0"/>
              </w:rPr>
            </w:r>
          </w:p>
          <w:p w:rsidR="00000000" w:rsidDel="00000000" w:rsidP="00000000" w:rsidRDefault="00000000" w:rsidRPr="00000000" w14:paraId="00000044">
            <w:pPr>
              <w:jc w:val="center"/>
              <w:rPr/>
            </w:pPr>
            <w:r w:rsidDel="00000000" w:rsidR="00000000" w:rsidRPr="00000000">
              <w:rPr>
                <w:rtl w:val="0"/>
              </w:rPr>
            </w:r>
          </w:p>
          <w:p w:rsidR="00000000" w:rsidDel="00000000" w:rsidP="00000000" w:rsidRDefault="00000000" w:rsidRPr="00000000" w14:paraId="00000045">
            <w:pPr>
              <w:jc w:val="center"/>
              <w:rPr/>
            </w:pPr>
            <w:r w:rsidDel="00000000" w:rsidR="00000000" w:rsidRPr="00000000">
              <w:rPr>
                <w:rtl w:val="0"/>
              </w:rPr>
            </w:r>
          </w:p>
          <w:p w:rsidR="00000000" w:rsidDel="00000000" w:rsidP="00000000" w:rsidRDefault="00000000" w:rsidRPr="00000000" w14:paraId="00000046">
            <w:pPr>
              <w:jc w:val="center"/>
              <w:rPr/>
            </w:pPr>
            <w:r w:rsidDel="00000000" w:rsidR="00000000" w:rsidRPr="00000000">
              <w:rPr>
                <w:rtl w:val="0"/>
              </w:rPr>
            </w:r>
          </w:p>
          <w:p w:rsidR="00000000" w:rsidDel="00000000" w:rsidP="00000000" w:rsidRDefault="00000000" w:rsidRPr="00000000" w14:paraId="00000047">
            <w:pPr>
              <w:jc w:val="center"/>
              <w:rPr/>
            </w:pPr>
            <w:r w:rsidDel="00000000" w:rsidR="00000000" w:rsidRPr="00000000">
              <w:rPr>
                <w:rtl w:val="0"/>
              </w:rPr>
            </w:r>
          </w:p>
          <w:p w:rsidR="00000000" w:rsidDel="00000000" w:rsidP="00000000" w:rsidRDefault="00000000" w:rsidRPr="00000000" w14:paraId="00000048">
            <w:pPr>
              <w:jc w:val="center"/>
              <w:rPr/>
            </w:pPr>
            <w:r w:rsidDel="00000000" w:rsidR="00000000" w:rsidRPr="00000000">
              <w:rPr>
                <w:rtl w:val="0"/>
              </w:rPr>
              <w:t xml:space="preserve">Community engagement at the centre of all WASH programmes</w:t>
            </w:r>
          </w:p>
        </w:tc>
        <w:tc>
          <w:tcPr/>
          <w:p w:rsidR="00000000" w:rsidDel="00000000" w:rsidP="00000000" w:rsidRDefault="00000000" w:rsidRPr="00000000" w14:paraId="00000049">
            <w:pPr>
              <w:jc w:val="center"/>
              <w:rPr/>
            </w:pPr>
            <w:r w:rsidDel="00000000" w:rsidR="00000000" w:rsidRPr="00000000">
              <w:rPr>
                <w:rtl w:val="0"/>
              </w:rPr>
            </w:r>
          </w:p>
          <w:p w:rsidR="00000000" w:rsidDel="00000000" w:rsidP="00000000" w:rsidRDefault="00000000" w:rsidRPr="00000000" w14:paraId="0000004A">
            <w:pPr>
              <w:jc w:val="center"/>
              <w:rPr/>
            </w:pPr>
            <w:r w:rsidDel="00000000" w:rsidR="00000000" w:rsidRPr="00000000">
              <w:rPr>
                <w:rtl w:val="0"/>
              </w:rPr>
            </w:r>
          </w:p>
          <w:p w:rsidR="00000000" w:rsidDel="00000000" w:rsidP="00000000" w:rsidRDefault="00000000" w:rsidRPr="00000000" w14:paraId="0000004B">
            <w:pPr>
              <w:jc w:val="center"/>
              <w:rPr/>
            </w:pPr>
            <w:r w:rsidDel="00000000" w:rsidR="00000000" w:rsidRPr="00000000">
              <w:rPr>
                <w:rtl w:val="0"/>
              </w:rPr>
            </w:r>
          </w:p>
          <w:p w:rsidR="00000000" w:rsidDel="00000000" w:rsidP="00000000" w:rsidRDefault="00000000" w:rsidRPr="00000000" w14:paraId="0000004C">
            <w:pPr>
              <w:jc w:val="center"/>
              <w:rPr/>
            </w:pPr>
            <w:r w:rsidDel="00000000" w:rsidR="00000000" w:rsidRPr="00000000">
              <w:rPr>
                <w:rtl w:val="0"/>
              </w:rPr>
            </w:r>
          </w:p>
          <w:p w:rsidR="00000000" w:rsidDel="00000000" w:rsidP="00000000" w:rsidRDefault="00000000" w:rsidRPr="00000000" w14:paraId="0000004D">
            <w:pPr>
              <w:jc w:val="center"/>
              <w:rPr/>
            </w:pPr>
            <w:r w:rsidDel="00000000" w:rsidR="00000000" w:rsidRPr="00000000">
              <w:rPr>
                <w:rtl w:val="0"/>
              </w:rPr>
              <w:t xml:space="preserve">The water chain and the involvement of the community</w:t>
            </w:r>
          </w:p>
        </w:tc>
        <w:tc>
          <w:tcPr/>
          <w:p w:rsidR="00000000" w:rsidDel="00000000" w:rsidP="00000000" w:rsidRDefault="00000000" w:rsidRPr="00000000" w14:paraId="0000004E">
            <w:pPr>
              <w:jc w:val="both"/>
              <w:rPr>
                <w:sz w:val="20"/>
                <w:szCs w:val="20"/>
              </w:rPr>
            </w:pPr>
            <w:r w:rsidDel="00000000" w:rsidR="00000000" w:rsidRPr="00000000">
              <w:rPr>
                <w:rtl w:val="0"/>
              </w:rPr>
            </w:r>
          </w:p>
          <w:p w:rsidR="00000000" w:rsidDel="00000000" w:rsidP="00000000" w:rsidRDefault="00000000" w:rsidRPr="00000000" w14:paraId="0000004F">
            <w:pPr>
              <w:jc w:val="both"/>
              <w:rPr>
                <w:sz w:val="20"/>
                <w:szCs w:val="20"/>
              </w:rPr>
            </w:pPr>
            <w:r w:rsidDel="00000000" w:rsidR="00000000" w:rsidRPr="00000000">
              <w:rPr>
                <w:rtl w:val="0"/>
              </w:rPr>
            </w:r>
          </w:p>
          <w:p w:rsidR="00000000" w:rsidDel="00000000" w:rsidP="00000000" w:rsidRDefault="00000000" w:rsidRPr="00000000" w14:paraId="00000050">
            <w:pPr>
              <w:jc w:val="both"/>
              <w:rPr>
                <w:sz w:val="20"/>
                <w:szCs w:val="20"/>
              </w:rPr>
            </w:pPr>
            <w:r w:rsidDel="00000000" w:rsidR="00000000" w:rsidRPr="00000000">
              <w:rPr>
                <w:sz w:val="20"/>
                <w:szCs w:val="20"/>
                <w:rtl w:val="0"/>
              </w:rPr>
              <w:t xml:space="preserve">We divide the room into different spaces, each representing a stage of the water chain (water sourcing, treatment, distribution, collection, household storage and consumption). We then divide the participants into small groups so they can think how the community can be involved at each stage of the chain.</w:t>
            </w:r>
          </w:p>
          <w:p w:rsidR="00000000" w:rsidDel="00000000" w:rsidP="00000000" w:rsidRDefault="00000000" w:rsidRPr="00000000" w14:paraId="00000051">
            <w:pPr>
              <w:jc w:val="both"/>
              <w:rPr/>
            </w:pPr>
            <w:r w:rsidDel="00000000" w:rsidR="00000000" w:rsidRPr="00000000">
              <w:rPr>
                <w:rtl w:val="0"/>
              </w:rPr>
            </w:r>
          </w:p>
        </w:tc>
        <w:tc>
          <w:tcPr/>
          <w:p w:rsidR="00000000" w:rsidDel="00000000" w:rsidP="00000000" w:rsidRDefault="00000000" w:rsidRPr="00000000" w14:paraId="00000052">
            <w:pPr>
              <w:jc w:val="both"/>
              <w:rPr>
                <w:sz w:val="20"/>
                <w:szCs w:val="20"/>
              </w:rPr>
            </w:pPr>
            <w:r w:rsidDel="00000000" w:rsidR="00000000" w:rsidRPr="00000000">
              <w:rPr>
                <w:rtl w:val="0"/>
              </w:rPr>
            </w:r>
          </w:p>
          <w:p w:rsidR="00000000" w:rsidDel="00000000" w:rsidP="00000000" w:rsidRDefault="00000000" w:rsidRPr="00000000" w14:paraId="00000053">
            <w:pPr>
              <w:jc w:val="both"/>
              <w:rPr>
                <w:sz w:val="20"/>
                <w:szCs w:val="20"/>
              </w:rPr>
            </w:pPr>
            <w:r w:rsidDel="00000000" w:rsidR="00000000" w:rsidRPr="00000000">
              <w:rPr>
                <w:rtl w:val="0"/>
              </w:rPr>
            </w:r>
          </w:p>
          <w:p w:rsidR="00000000" w:rsidDel="00000000" w:rsidP="00000000" w:rsidRDefault="00000000" w:rsidRPr="00000000" w14:paraId="00000054">
            <w:pPr>
              <w:jc w:val="both"/>
              <w:rPr>
                <w:sz w:val="20"/>
                <w:szCs w:val="20"/>
              </w:rPr>
            </w:pPr>
            <w:r w:rsidDel="00000000" w:rsidR="00000000" w:rsidRPr="00000000">
              <w:rPr>
                <w:rtl w:val="0"/>
              </w:rPr>
            </w:r>
          </w:p>
          <w:p w:rsidR="00000000" w:rsidDel="00000000" w:rsidP="00000000" w:rsidRDefault="00000000" w:rsidRPr="00000000" w14:paraId="00000055">
            <w:pPr>
              <w:jc w:val="both"/>
              <w:rPr>
                <w:sz w:val="20"/>
                <w:szCs w:val="20"/>
              </w:rPr>
            </w:pPr>
            <w:r w:rsidDel="00000000" w:rsidR="00000000" w:rsidRPr="00000000">
              <w:rPr>
                <w:rtl w:val="0"/>
              </w:rPr>
            </w:r>
          </w:p>
          <w:p w:rsidR="00000000" w:rsidDel="00000000" w:rsidP="00000000" w:rsidRDefault="00000000" w:rsidRPr="00000000" w14:paraId="00000056">
            <w:pPr>
              <w:jc w:val="both"/>
              <w:rPr>
                <w:sz w:val="20"/>
                <w:szCs w:val="20"/>
              </w:rPr>
            </w:pPr>
            <w:r w:rsidDel="00000000" w:rsidR="00000000" w:rsidRPr="00000000">
              <w:rPr>
                <w:rtl w:val="0"/>
              </w:rPr>
            </w:r>
          </w:p>
          <w:p w:rsidR="00000000" w:rsidDel="00000000" w:rsidP="00000000" w:rsidRDefault="00000000" w:rsidRPr="00000000" w14:paraId="00000057">
            <w:pPr>
              <w:jc w:val="both"/>
              <w:rPr>
                <w:sz w:val="20"/>
                <w:szCs w:val="20"/>
              </w:rPr>
            </w:pPr>
            <w:r w:rsidDel="00000000" w:rsidR="00000000" w:rsidRPr="00000000">
              <w:rPr>
                <w:rtl w:val="0"/>
              </w:rPr>
            </w:r>
          </w:p>
          <w:p w:rsidR="00000000" w:rsidDel="00000000" w:rsidP="00000000" w:rsidRDefault="00000000" w:rsidRPr="00000000" w14:paraId="00000058">
            <w:pPr>
              <w:jc w:val="both"/>
              <w:rPr>
                <w:sz w:val="20"/>
                <w:szCs w:val="20"/>
              </w:rPr>
            </w:pPr>
            <w:r w:rsidDel="00000000" w:rsidR="00000000" w:rsidRPr="00000000">
              <w:rPr>
                <w:rtl w:val="0"/>
              </w:rPr>
            </w:r>
          </w:p>
          <w:p w:rsidR="00000000" w:rsidDel="00000000" w:rsidP="00000000" w:rsidRDefault="00000000" w:rsidRPr="00000000" w14:paraId="00000059">
            <w:pPr>
              <w:jc w:val="both"/>
              <w:rPr>
                <w:sz w:val="20"/>
                <w:szCs w:val="20"/>
              </w:rPr>
            </w:pPr>
            <w:r w:rsidDel="00000000" w:rsidR="00000000" w:rsidRPr="00000000">
              <w:rPr>
                <w:rtl w:val="0"/>
              </w:rPr>
            </w:r>
          </w:p>
          <w:p w:rsidR="00000000" w:rsidDel="00000000" w:rsidP="00000000" w:rsidRDefault="00000000" w:rsidRPr="00000000" w14:paraId="0000005A">
            <w:pPr>
              <w:jc w:val="both"/>
              <w:rPr>
                <w:sz w:val="20"/>
                <w:szCs w:val="20"/>
              </w:rPr>
            </w:pPr>
            <w:r w:rsidDel="00000000" w:rsidR="00000000" w:rsidRPr="00000000">
              <w:rPr>
                <w:sz w:val="20"/>
                <w:szCs w:val="20"/>
                <w:rtl w:val="0"/>
              </w:rPr>
              <w:t xml:space="preserve">Flipchart, markers</w:t>
            </w:r>
          </w:p>
        </w:tc>
      </w:tr>
      <w:tr>
        <w:trPr>
          <w:cantSplit w:val="0"/>
          <w:trHeight w:val="1808" w:hRule="atLeast"/>
          <w:tblHeader w:val="0"/>
        </w:trPr>
        <w:tc>
          <w:tcPr/>
          <w:p w:rsidR="00000000" w:rsidDel="00000000" w:rsidP="00000000" w:rsidRDefault="00000000" w:rsidRPr="00000000" w14:paraId="0000005B">
            <w:pPr>
              <w:jc w:val="center"/>
              <w:rPr/>
            </w:pPr>
            <w:r w:rsidDel="00000000" w:rsidR="00000000" w:rsidRPr="00000000">
              <w:rPr>
                <w:rtl w:val="0"/>
              </w:rPr>
            </w:r>
          </w:p>
          <w:p w:rsidR="00000000" w:rsidDel="00000000" w:rsidP="00000000" w:rsidRDefault="00000000" w:rsidRPr="00000000" w14:paraId="0000005C">
            <w:pPr>
              <w:jc w:val="center"/>
              <w:rPr/>
            </w:pPr>
            <w:r w:rsidDel="00000000" w:rsidR="00000000" w:rsidRPr="00000000">
              <w:rPr>
                <w:rtl w:val="0"/>
              </w:rPr>
            </w:r>
          </w:p>
          <w:p w:rsidR="00000000" w:rsidDel="00000000" w:rsidP="00000000" w:rsidRDefault="00000000" w:rsidRPr="00000000" w14:paraId="0000005D">
            <w:pPr>
              <w:jc w:val="center"/>
              <w:rPr/>
            </w:pPr>
            <w:r w:rsidDel="00000000" w:rsidR="00000000" w:rsidRPr="00000000">
              <w:rPr>
                <w:rtl w:val="0"/>
              </w:rPr>
              <w:t xml:space="preserve">10 min</w:t>
            </w:r>
          </w:p>
        </w:tc>
        <w:tc>
          <w:tcPr/>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jc w:val="center"/>
              <w:rPr/>
            </w:pPr>
            <w:r w:rsidDel="00000000" w:rsidR="00000000" w:rsidRPr="00000000">
              <w:rPr>
                <w:rtl w:val="0"/>
              </w:rPr>
              <w:t xml:space="preserve">Relation of the WASH chapter to the rest of the Handbook</w:t>
            </w:r>
          </w:p>
        </w:tc>
        <w:tc>
          <w:tcPr/>
          <w:p w:rsidR="00000000" w:rsidDel="00000000" w:rsidP="00000000" w:rsidRDefault="00000000" w:rsidRPr="00000000" w14:paraId="00000060">
            <w:pPr>
              <w:jc w:val="both"/>
              <w:rPr>
                <w:b w:val="1"/>
              </w:rPr>
            </w:pPr>
            <w:r w:rsidDel="00000000" w:rsidR="00000000" w:rsidRPr="00000000">
              <w:rPr>
                <w:rtl w:val="0"/>
              </w:rPr>
            </w:r>
          </w:p>
          <w:p w:rsidR="00000000" w:rsidDel="00000000" w:rsidP="00000000" w:rsidRDefault="00000000" w:rsidRPr="00000000" w14:paraId="00000061">
            <w:pPr>
              <w:jc w:val="both"/>
              <w:rPr>
                <w:b w:val="1"/>
              </w:rPr>
            </w:pPr>
            <w:r w:rsidDel="00000000" w:rsidR="00000000" w:rsidRPr="00000000">
              <w:rPr>
                <w:rtl w:val="0"/>
              </w:rPr>
            </w:r>
          </w:p>
          <w:p w:rsidR="00000000" w:rsidDel="00000000" w:rsidP="00000000" w:rsidRDefault="00000000" w:rsidRPr="00000000" w14:paraId="00000062">
            <w:pPr>
              <w:jc w:val="center"/>
              <w:rPr/>
            </w:pPr>
            <w:r w:rsidDel="00000000" w:rsidR="00000000" w:rsidRPr="00000000">
              <w:rPr>
                <w:rtl w:val="0"/>
              </w:rPr>
              <w:t xml:space="preserve">Conclusion</w:t>
            </w:r>
          </w:p>
        </w:tc>
        <w:tc>
          <w:tcPr/>
          <w:p w:rsidR="00000000" w:rsidDel="00000000" w:rsidP="00000000" w:rsidRDefault="00000000" w:rsidRPr="00000000" w14:paraId="00000063">
            <w:pPr>
              <w:jc w:val="both"/>
              <w:rPr>
                <w:sz w:val="20"/>
                <w:szCs w:val="20"/>
              </w:rPr>
            </w:pPr>
            <w:r w:rsidDel="00000000" w:rsidR="00000000" w:rsidRPr="00000000">
              <w:rPr>
                <w:rtl w:val="0"/>
              </w:rPr>
            </w:r>
          </w:p>
          <w:p w:rsidR="00000000" w:rsidDel="00000000" w:rsidP="00000000" w:rsidRDefault="00000000" w:rsidRPr="00000000" w14:paraId="00000064">
            <w:pPr>
              <w:jc w:val="both"/>
              <w:rPr>
                <w:b w:val="1"/>
              </w:rPr>
            </w:pPr>
            <w:r w:rsidDel="00000000" w:rsidR="00000000" w:rsidRPr="00000000">
              <w:rPr>
                <w:sz w:val="20"/>
                <w:szCs w:val="20"/>
                <w:rtl w:val="0"/>
              </w:rPr>
              <w:t xml:space="preserve">Domino effect: How does inadequate WASH standards influence a humanitarian response?</w:t>
            </w:r>
            <w:r w:rsidDel="00000000" w:rsidR="00000000" w:rsidRPr="00000000">
              <w:rPr>
                <w:rtl w:val="0"/>
              </w:rPr>
            </w:r>
          </w:p>
        </w:tc>
        <w:tc>
          <w:tcPr/>
          <w:p w:rsidR="00000000" w:rsidDel="00000000" w:rsidP="00000000" w:rsidRDefault="00000000" w:rsidRPr="00000000" w14:paraId="00000065">
            <w:pPr>
              <w:jc w:val="both"/>
              <w:rPr>
                <w:b w:val="1"/>
              </w:rPr>
            </w:pP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sectPr>
      <w:headerReference r:id="rId7" w:type="default"/>
      <w:footerReference r:id="rId8"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rPr>
        <w:color w:val="222c64"/>
      </w:rPr>
    </w:pPr>
    <w:r w:rsidDel="00000000" w:rsidR="00000000" w:rsidRPr="00000000">
      <w:rPr>
        <w:rFonts w:ascii="Arial" w:cs="Arial" w:eastAsia="Arial" w:hAnsi="Arial"/>
        <w:b w:val="1"/>
        <w:color w:val="222c64"/>
        <w:sz w:val="20"/>
        <w:szCs w:val="20"/>
        <w:rtl w:val="0"/>
      </w:rPr>
      <w:t xml:space="preserve">____________________________________________________________________________________</w:t>
    </w:r>
    <w:r w:rsidDel="00000000" w:rsidR="00000000" w:rsidRPr="00000000">
      <w:rPr>
        <w:rtl w:val="0"/>
      </w:rPr>
    </w:r>
  </w:p>
  <w:p w:rsidR="00000000" w:rsidDel="00000000" w:rsidP="00000000" w:rsidRDefault="00000000" w:rsidRPr="00000000" w14:paraId="0000006C">
    <w:pPr>
      <w:tabs>
        <w:tab w:val="center" w:leader="none" w:pos="4680"/>
        <w:tab w:val="right" w:leader="none" w:pos="9360"/>
      </w:tabs>
      <w:ind w:right="-720"/>
      <w:jc w:val="center"/>
      <w:rPr>
        <w:rFonts w:ascii="Arial" w:cs="Arial" w:eastAsia="Arial" w:hAnsi="Arial"/>
        <w:b w:val="1"/>
        <w:color w:val="222c64"/>
        <w:sz w:val="20"/>
        <w:szCs w:val="20"/>
      </w:rPr>
    </w:pPr>
    <w:r w:rsidDel="00000000" w:rsidR="00000000" w:rsidRPr="00000000">
      <w:rPr>
        <w:rtl w:val="0"/>
      </w:rPr>
    </w:r>
  </w:p>
  <w:p w:rsidR="00000000" w:rsidDel="00000000" w:rsidP="00000000" w:rsidRDefault="00000000" w:rsidRPr="00000000" w14:paraId="0000006D">
    <w:pPr>
      <w:tabs>
        <w:tab w:val="center" w:leader="none" w:pos="4680"/>
        <w:tab w:val="right" w:leader="none" w:pos="9360"/>
      </w:tabs>
      <w:ind w:right="-720"/>
      <w:rPr>
        <w:rFonts w:ascii="Arial" w:cs="Arial" w:eastAsia="Arial" w:hAnsi="Arial"/>
        <w:b w:val="1"/>
        <w:color w:val="222c64"/>
        <w:sz w:val="20"/>
        <w:szCs w:val="20"/>
      </w:rPr>
    </w:pPr>
    <w:r w:rsidDel="00000000" w:rsidR="00000000" w:rsidRPr="00000000">
      <w:rPr>
        <w:rFonts w:ascii="Arial" w:cs="Arial" w:eastAsia="Arial" w:hAnsi="Arial"/>
        <w:b w:val="1"/>
        <w:color w:val="222c64"/>
        <w:sz w:val="20"/>
        <w:szCs w:val="20"/>
        <w:rtl w:val="0"/>
      </w:rPr>
      <w:tab/>
      <w:t xml:space="preserve">Fraternity – International Humanitarian Missions (FIHM)</w:t>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680"/>
        <w:tab w:val="right" w:leader="none" w:pos="9360"/>
      </w:tabs>
      <w:jc w:val="center"/>
      <w:rPr>
        <w:rFonts w:ascii="Arial" w:cs="Arial" w:eastAsia="Arial" w:hAnsi="Arial"/>
        <w:color w:val="222c64"/>
        <w:sz w:val="18"/>
        <w:szCs w:val="18"/>
      </w:rPr>
    </w:pPr>
    <w:r w:rsidDel="00000000" w:rsidR="00000000" w:rsidRPr="00000000">
      <w:rPr>
        <w:rFonts w:ascii="Arial" w:cs="Arial" w:eastAsia="Arial" w:hAnsi="Arial"/>
        <w:color w:val="222c64"/>
        <w:sz w:val="18"/>
        <w:szCs w:val="18"/>
        <w:rtl w:val="0"/>
      </w:rPr>
      <w:t xml:space="preserve">Rua Principal, 71, Moimento | Postal Code 2495-650 | Fátima, Portugal | executivo@fraterinternacional.org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5943600" cy="63881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638810"/>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rPr>
        <w:color w:val="222c64"/>
      </w:rPr>
    </w:pPr>
    <w:r w:rsidDel="00000000" w:rsidR="00000000" w:rsidRPr="00000000">
      <w:rPr>
        <w:rFonts w:ascii="Arial" w:cs="Arial" w:eastAsia="Arial" w:hAnsi="Arial"/>
        <w:b w:val="1"/>
        <w:color w:val="222c64"/>
        <w:sz w:val="20"/>
        <w:szCs w:val="20"/>
        <w:rtl w:val="0"/>
      </w:rPr>
      <w:t xml:space="preserve">____________________________________________________________________________________</w:t>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rPr>
        <w:color w:val="222c64"/>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680"/>
        <w:tab w:val="right" w:leader="none" w:pos="9360"/>
      </w:tabs>
      <w:rPr>
        <w:color w:val="222c6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Cabealho">
    <w:name w:val="header"/>
    <w:basedOn w:val="Normal"/>
    <w:link w:val="CabealhoChar"/>
    <w:uiPriority w:val="99"/>
    <w:unhideWhenUsed w:val="1"/>
    <w:rsid w:val="009B5F5D"/>
    <w:pPr>
      <w:tabs>
        <w:tab w:val="center" w:pos="4680"/>
        <w:tab w:val="right" w:pos="9360"/>
      </w:tabs>
    </w:pPr>
  </w:style>
  <w:style w:type="character" w:styleId="CabealhoChar" w:customStyle="1">
    <w:name w:val="Cabeçalho Char"/>
    <w:basedOn w:val="Fontepargpadro"/>
    <w:link w:val="Cabealho"/>
    <w:uiPriority w:val="99"/>
    <w:rsid w:val="009B5F5D"/>
  </w:style>
  <w:style w:type="paragraph" w:styleId="Rodap">
    <w:name w:val="footer"/>
    <w:basedOn w:val="Normal"/>
    <w:link w:val="RodapChar"/>
    <w:uiPriority w:val="99"/>
    <w:unhideWhenUsed w:val="1"/>
    <w:rsid w:val="009B5F5D"/>
    <w:pPr>
      <w:tabs>
        <w:tab w:val="center" w:pos="4680"/>
        <w:tab w:val="right" w:pos="9360"/>
      </w:tabs>
    </w:pPr>
  </w:style>
  <w:style w:type="character" w:styleId="RodapChar" w:customStyle="1">
    <w:name w:val="Rodapé Char"/>
    <w:basedOn w:val="Fontepargpadro"/>
    <w:link w:val="Rodap"/>
    <w:uiPriority w:val="99"/>
    <w:rsid w:val="009B5F5D"/>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Default" w:customStyle="1">
    <w:name w:val="Default"/>
    <w:rsid w:val="00A46EF5"/>
    <w:pPr>
      <w:autoSpaceDE w:val="0"/>
      <w:autoSpaceDN w:val="0"/>
      <w:adjustRightInd w:val="0"/>
    </w:pPr>
    <w:rPr>
      <w:color w:val="000000"/>
    </w:rPr>
  </w:style>
  <w:style w:type="paragraph" w:styleId="PargrafodaLista">
    <w:name w:val="List Paragraph"/>
    <w:basedOn w:val="Normal"/>
    <w:uiPriority w:val="34"/>
    <w:qFormat w:val="1"/>
    <w:rsid w:val="00A46EF5"/>
    <w:pPr>
      <w:ind w:left="720"/>
      <w:contextualSpacing w:val="1"/>
    </w:pPr>
  </w:style>
  <w:style w:type="table" w:styleId="Tabelacomgrade">
    <w:name w:val="Table Grid"/>
    <w:basedOn w:val="Tabelanormal"/>
    <w:uiPriority w:val="39"/>
    <w:rsid w:val="00A46EF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ESlf//+EvITMbh+rVaqMlhJhMA==">AMUW2mU/KmS3c5WPKJUbShn3/0KlcFj1vKqPuOcAhQBSvd/TAgFOu9IOymbZDiRsYcsD7EJk9M+Ii4INUhAsqsLoRFyYdkbFbgb6DAsybuVOsdkqP2wyQB4=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625C12C-60FA-466B-981A-04FA4D460EA4}"/>
</file>

<file path=customXML/itemProps3.xml><?xml version="1.0" encoding="utf-8"?>
<ds:datastoreItem xmlns:ds="http://schemas.openxmlformats.org/officeDocument/2006/customXml" ds:itemID="{A262256C-2FFC-4BF1-9231-863E50BEF3E1}"/>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2023-02-08T21:02:00Z</dcterms:created>
  <dc:creator>Humanitarian Fraternity (FIHM) Brazil</dc:creator>
</cp:coreProperties>
</file>